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3A062C" w:rsidRPr="00346AC1" w:rsidTr="00CF127F"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 w:rsidR="00C668C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escription: mali grb kolorni osenceni" style="position:absolute;margin-left:82.25pt;margin-top:-7pt;width:52.2pt;height:7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6" o:title="mali grb kolorni osenceni"/>
                  <w10:wrap type="square"/>
                </v:shape>
              </w:pict>
            </w:r>
          </w:p>
        </w:tc>
      </w:tr>
      <w:tr w:rsidR="003A062C" w:rsidRPr="00346AC1" w:rsidTr="00CF127F">
        <w:trPr>
          <w:trHeight w:val="323"/>
        </w:trPr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3A062C" w:rsidRPr="00346AC1" w:rsidRDefault="003A062C" w:rsidP="00CF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</w:rPr>
              <w:t>404-02</w:t>
            </w:r>
            <w:r w:rsidR="00C5708C">
              <w:rPr>
                <w:rFonts w:ascii="Times New Roman" w:hAnsi="Times New Roman"/>
                <w:sz w:val="24"/>
                <w:szCs w:val="24"/>
                <w:lang w:val="sr-Cyrl-RS"/>
              </w:rPr>
              <w:t>-15/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2017-08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A0A3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април 2017. године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16AE" w:rsidRDefault="000D16AE" w:rsidP="009D560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6AE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ДОДАТНЕ ИНФОРМАЦИЈЕ ОДНОСНО ПОЈАШЊЕЊА У ВЕЗИ СА ПРИПРЕМАЊЕМ ПОНУДЕ ЗА ЈАВНУ НАБАВКУ 1.3.</w:t>
      </w:r>
      <w:r w:rsidR="003A062C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3A062C">
        <w:rPr>
          <w:rFonts w:ascii="Times New Roman" w:hAnsi="Times New Roman"/>
          <w:sz w:val="24"/>
          <w:szCs w:val="24"/>
          <w:lang w:val="sr-Cyrl-CS"/>
        </w:rPr>
        <w:t>7</w:t>
      </w:r>
    </w:p>
    <w:p w:rsidR="000D16AE" w:rsidRDefault="003A062C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D3511F">
        <w:rPr>
          <w:rFonts w:ascii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hAnsi="Times New Roman"/>
          <w:sz w:val="24"/>
          <w:szCs w:val="24"/>
          <w:lang w:val="sr-Cyrl-CS"/>
        </w:rPr>
        <w:t>и на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завршет</w:t>
      </w:r>
      <w:r w:rsidRPr="00D3511F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школске фискултурне сал</w:t>
      </w:r>
      <w:r w:rsidRPr="00D3511F">
        <w:rPr>
          <w:rFonts w:ascii="Times New Roman" w:hAnsi="Times New Roman"/>
          <w:sz w:val="24"/>
          <w:szCs w:val="24"/>
          <w:lang w:val="sr-Latn-RS"/>
        </w:rPr>
        <w:t>e</w:t>
      </w:r>
      <w:r w:rsidRPr="00D3511F">
        <w:rPr>
          <w:rFonts w:ascii="Times New Roman" w:hAnsi="Times New Roman"/>
          <w:sz w:val="24"/>
          <w:szCs w:val="24"/>
          <w:lang w:val="sr-Cyrl-RS"/>
        </w:rPr>
        <w:t xml:space="preserve"> у ОШ Дуде Јовић</w:t>
      </w:r>
      <w:r w:rsidRPr="00D3511F">
        <w:rPr>
          <w:rFonts w:ascii="Times New Roman" w:hAnsi="Times New Roman"/>
          <w:sz w:val="24"/>
          <w:szCs w:val="24"/>
          <w:lang w:val="sr-Cyrl-CS"/>
        </w:rPr>
        <w:t>, општина Жабари,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Заврши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започето</w:t>
      </w:r>
      <w:proofErr w:type="spellEnd"/>
    </w:p>
    <w:p w:rsidR="000D16AE" w:rsidRPr="009D560C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D16AE" w:rsidRDefault="000D16AE" w:rsidP="009D560C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D16AE" w:rsidRDefault="009A0A3A" w:rsidP="009D560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 конкурсној документацији стоји да у погледу кадровског капацитета понуђач мора да има најманје 2 (два) запослена дипломирана грађевинска инжењера, или 2 дипломирана инжењера електротехнике који поседују важећу лиценцу Инжењерске коморе Србије. Питање је да ли може да са ваше стране буде прихваћено да у сталном радном односу запошљавамо дипломиране инжењере архитектуре?</w:t>
      </w:r>
    </w:p>
    <w:p w:rsidR="003A062C" w:rsidRDefault="000D16AE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D2994" w:rsidRPr="00BD2994" w:rsidRDefault="00BD2994" w:rsidP="00C11EF4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D2994">
        <w:rPr>
          <w:rFonts w:ascii="Times New Roman" w:hAnsi="Times New Roman"/>
          <w:sz w:val="24"/>
          <w:szCs w:val="24"/>
          <w:lang w:val="sr-Cyrl-RS"/>
        </w:rPr>
        <w:t xml:space="preserve">У оквиру 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поглавља </w:t>
      </w:r>
      <w:r w:rsidRPr="00BD2994">
        <w:rPr>
          <w:rFonts w:ascii="Times New Roman" w:hAnsi="Times New Roman"/>
          <w:sz w:val="24"/>
          <w:szCs w:val="24"/>
          <w:lang w:val="sr-Latn-CS"/>
        </w:rPr>
        <w:t>III</w:t>
      </w:r>
      <w:r w:rsidRPr="00BD2994">
        <w:rPr>
          <w:rFonts w:ascii="Times New Roman" w:hAnsi="Times New Roman"/>
          <w:sz w:val="24"/>
          <w:szCs w:val="24"/>
          <w:lang w:val="sr-Cyrl-RS"/>
        </w:rPr>
        <w:t xml:space="preserve"> конкурсне документације</w:t>
      </w:r>
      <w:r w:rsidRPr="00BD299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дати су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услови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учешће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у </w:t>
      </w:r>
      <w:r w:rsidRPr="00BD299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поступку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из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чл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. 75. </w:t>
      </w:r>
      <w:proofErr w:type="gramStart"/>
      <w:r w:rsidRPr="00BD2994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BD2994">
        <w:rPr>
          <w:rFonts w:ascii="Times New Roman" w:hAnsi="Times New Roman"/>
          <w:iCs/>
          <w:sz w:val="24"/>
          <w:szCs w:val="24"/>
        </w:rPr>
        <w:t xml:space="preserve"> 76. </w:t>
      </w:r>
      <w:r>
        <w:rPr>
          <w:rFonts w:ascii="Times New Roman" w:hAnsi="Times New Roman"/>
          <w:iCs/>
          <w:sz w:val="24"/>
          <w:szCs w:val="24"/>
          <w:lang w:val="sr-Cyrl-RS"/>
        </w:rPr>
        <w:t>З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акона</w:t>
      </w:r>
      <w:proofErr w:type="spellEnd"/>
      <w:r>
        <w:rPr>
          <w:rFonts w:ascii="Times New Roman" w:hAnsi="Times New Roman"/>
          <w:iCs/>
          <w:sz w:val="24"/>
          <w:szCs w:val="24"/>
          <w:lang w:val="sr-Cyrl-RS"/>
        </w:rPr>
        <w:t xml:space="preserve"> о јавним набавкама</w:t>
      </w:r>
      <w:r w:rsidRPr="00BD2994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упутство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како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се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доказује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испуњеност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тих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услова</w:t>
      </w:r>
      <w:proofErr w:type="spellEnd"/>
      <w:r>
        <w:rPr>
          <w:rFonts w:ascii="Times New Roman" w:hAnsi="Times New Roman"/>
          <w:iCs/>
          <w:sz w:val="24"/>
          <w:szCs w:val="24"/>
          <w:lang w:val="sr-Cyrl-RS"/>
        </w:rPr>
        <w:t>. Као додатни услов кадровског капацитета  понуђач мора да докаже да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 xml:space="preserve">спуњава два услова </w:t>
      </w:r>
      <w:r w:rsidR="00C11EF4">
        <w:rPr>
          <w:rFonts w:ascii="Times New Roman" w:hAnsi="Times New Roman"/>
          <w:sz w:val="24"/>
          <w:szCs w:val="24"/>
          <w:lang w:val="ru-RU"/>
        </w:rPr>
        <w:t>од којих је први</w:t>
      </w:r>
      <w:r>
        <w:rPr>
          <w:rFonts w:ascii="Times New Roman" w:hAnsi="Times New Roman"/>
          <w:sz w:val="24"/>
          <w:szCs w:val="24"/>
          <w:lang w:val="ru-RU"/>
        </w:rPr>
        <w:t xml:space="preserve"> да има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најмање 2 (два) запослена дипломиран</w:t>
      </w:r>
      <w:r w:rsidRPr="00BD2994">
        <w:rPr>
          <w:rFonts w:ascii="Times New Roman" w:hAnsi="Times New Roman"/>
          <w:sz w:val="24"/>
          <w:szCs w:val="24"/>
        </w:rPr>
        <w:t>a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грађевинск</w:t>
      </w:r>
      <w:r w:rsidRPr="00BD2994">
        <w:rPr>
          <w:rFonts w:ascii="Times New Roman" w:hAnsi="Times New Roman"/>
          <w:sz w:val="24"/>
          <w:szCs w:val="24"/>
        </w:rPr>
        <w:t>a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инжењера или дипломирана инжењера електротехнике, који поседују важећу лиценцу Инжењ</w:t>
      </w:r>
      <w:r w:rsidRPr="00BD2994">
        <w:rPr>
          <w:rFonts w:ascii="Times New Roman" w:hAnsi="Times New Roman"/>
          <w:sz w:val="24"/>
          <w:szCs w:val="24"/>
        </w:rPr>
        <w:t>e</w:t>
      </w:r>
      <w:r w:rsidRPr="00BD2994">
        <w:rPr>
          <w:rFonts w:ascii="Times New Roman" w:hAnsi="Times New Roman"/>
          <w:sz w:val="24"/>
          <w:szCs w:val="24"/>
          <w:lang w:val="ru-RU"/>
        </w:rPr>
        <w:t>рске коморе Србије</w:t>
      </w:r>
      <w:r w:rsidR="009A0A3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A0A3A">
        <w:rPr>
          <w:rFonts w:ascii="Times New Roman" w:hAnsi="Times New Roman"/>
          <w:sz w:val="24"/>
          <w:szCs w:val="24"/>
          <w:lang w:val="ru-RU"/>
        </w:rPr>
        <w:t>што значи да минимум два инжењера могу бити или грађевинске струке или електротехничке струке или и једне и друге струке.</w:t>
      </w:r>
      <w:r w:rsidR="00C11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0A3A">
        <w:rPr>
          <w:rFonts w:ascii="Times New Roman" w:hAnsi="Times New Roman"/>
          <w:sz w:val="24"/>
          <w:szCs w:val="24"/>
        </w:rPr>
        <w:t>За</w:t>
      </w:r>
      <w:proofErr w:type="spellEnd"/>
      <w:r w:rsidRPr="009A0A3A">
        <w:rPr>
          <w:rFonts w:ascii="Times New Roman" w:hAnsi="Times New Roman"/>
          <w:sz w:val="24"/>
          <w:szCs w:val="24"/>
        </w:rPr>
        <w:t xml:space="preserve"> </w:t>
      </w:r>
      <w:r w:rsidR="00C11EF4">
        <w:rPr>
          <w:rFonts w:ascii="Times New Roman" w:hAnsi="Times New Roman"/>
          <w:sz w:val="24"/>
          <w:szCs w:val="24"/>
          <w:lang w:val="sr-Cyrl-RS"/>
        </w:rPr>
        <w:t xml:space="preserve">те </w:t>
      </w:r>
      <w:r w:rsidRPr="009A0A3A">
        <w:rPr>
          <w:rFonts w:ascii="Times New Roman" w:hAnsi="Times New Roman"/>
          <w:sz w:val="24"/>
          <w:szCs w:val="24"/>
          <w:lang w:val="ru-RU"/>
        </w:rPr>
        <w:t>запослене дипломиране инжењере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техничке струке са важећом лиценцом Инжењерске коморе Србије потребно је доставити фотокопију радне књижице </w:t>
      </w:r>
      <w:proofErr w:type="spellStart"/>
      <w:r w:rsidRPr="00BD2994">
        <w:rPr>
          <w:rFonts w:ascii="Times New Roman" w:hAnsi="Times New Roman"/>
          <w:sz w:val="24"/>
          <w:szCs w:val="24"/>
        </w:rPr>
        <w:t>заједно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са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копијом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обрасца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BD2994">
        <w:rPr>
          <w:rFonts w:ascii="Times New Roman" w:hAnsi="Times New Roman"/>
          <w:sz w:val="24"/>
          <w:szCs w:val="24"/>
        </w:rPr>
        <w:t>Пријава-одјава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'' </w:t>
      </w:r>
      <w:proofErr w:type="spellStart"/>
      <w:r w:rsidRPr="00BD2994">
        <w:rPr>
          <w:rFonts w:ascii="Times New Roman" w:hAnsi="Times New Roman"/>
          <w:sz w:val="24"/>
          <w:szCs w:val="24"/>
        </w:rPr>
        <w:t>Фонду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ПИО (МА, М3А </w:t>
      </w:r>
      <w:proofErr w:type="spellStart"/>
      <w:r w:rsidRPr="00BD2994">
        <w:rPr>
          <w:rFonts w:ascii="Times New Roman" w:hAnsi="Times New Roman"/>
          <w:sz w:val="24"/>
          <w:szCs w:val="24"/>
        </w:rPr>
        <w:t>односно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одговарајући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образац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одјава-пријава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) 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D2994">
        <w:rPr>
          <w:rFonts w:ascii="Times New Roman" w:hAnsi="Times New Roman"/>
          <w:bCs/>
          <w:sz w:val="24"/>
          <w:szCs w:val="24"/>
          <w:lang w:val="ru-RU"/>
        </w:rPr>
        <w:t>копиј</w:t>
      </w:r>
      <w:r w:rsidRPr="00BD2994">
        <w:rPr>
          <w:rFonts w:ascii="Times New Roman" w:hAnsi="Times New Roman"/>
          <w:bCs/>
          <w:sz w:val="24"/>
          <w:szCs w:val="24"/>
        </w:rPr>
        <w:t>у</w:t>
      </w:r>
      <w:r w:rsidRPr="00BD2994">
        <w:rPr>
          <w:rFonts w:ascii="Times New Roman" w:hAnsi="Times New Roman"/>
          <w:bCs/>
          <w:sz w:val="24"/>
          <w:szCs w:val="24"/>
          <w:lang w:val="ru-RU"/>
        </w:rPr>
        <w:t xml:space="preserve"> лиценц</w:t>
      </w:r>
      <w:r w:rsidRPr="00BD2994">
        <w:rPr>
          <w:rFonts w:ascii="Times New Roman" w:hAnsi="Times New Roman"/>
          <w:bCs/>
          <w:sz w:val="24"/>
          <w:szCs w:val="24"/>
        </w:rPr>
        <w:t xml:space="preserve">е </w:t>
      </w:r>
      <w:proofErr w:type="spellStart"/>
      <w:r w:rsidRPr="00BD2994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BD2994">
        <w:rPr>
          <w:rFonts w:ascii="Times New Roman" w:hAnsi="Times New Roman"/>
          <w:bCs/>
          <w:sz w:val="24"/>
          <w:szCs w:val="24"/>
          <w:lang w:val="ru-RU"/>
        </w:rPr>
        <w:t xml:space="preserve"> важећ</w:t>
      </w:r>
      <w:proofErr w:type="spellStart"/>
      <w:r w:rsidRPr="00BD2994">
        <w:rPr>
          <w:rFonts w:ascii="Times New Roman" w:hAnsi="Times New Roman"/>
          <w:bCs/>
          <w:sz w:val="24"/>
          <w:szCs w:val="24"/>
        </w:rPr>
        <w:t>ом</w:t>
      </w:r>
      <w:proofErr w:type="spellEnd"/>
      <w:r w:rsidRPr="00BD2994">
        <w:rPr>
          <w:rFonts w:ascii="Times New Roman" w:hAnsi="Times New Roman"/>
          <w:bCs/>
          <w:sz w:val="24"/>
          <w:szCs w:val="24"/>
          <w:lang w:val="ru-RU"/>
        </w:rPr>
        <w:t xml:space="preserve"> потврд</w:t>
      </w:r>
      <w:proofErr w:type="spellStart"/>
      <w:r w:rsidRPr="00BD2994">
        <w:rPr>
          <w:rFonts w:ascii="Times New Roman" w:hAnsi="Times New Roman"/>
          <w:bCs/>
          <w:sz w:val="24"/>
          <w:szCs w:val="24"/>
        </w:rPr>
        <w:t>ом</w:t>
      </w:r>
      <w:proofErr w:type="spellEnd"/>
      <w:r w:rsidRPr="00BD2994">
        <w:rPr>
          <w:rFonts w:ascii="Times New Roman" w:hAnsi="Times New Roman"/>
          <w:bCs/>
          <w:sz w:val="24"/>
          <w:szCs w:val="24"/>
          <w:lang w:val="ru-RU"/>
        </w:rPr>
        <w:t xml:space="preserve"> ИКС да им одлуком Суда части лиценце нису одузете</w:t>
      </w:r>
      <w:r w:rsidRPr="00BD2994">
        <w:rPr>
          <w:rFonts w:ascii="Times New Roman" w:hAnsi="Times New Roman"/>
          <w:bCs/>
          <w:sz w:val="24"/>
          <w:szCs w:val="24"/>
        </w:rPr>
        <w:t>.</w:t>
      </w:r>
    </w:p>
    <w:p w:rsidR="003A062C" w:rsidRPr="003A062C" w:rsidRDefault="003A062C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062C" w:rsidRDefault="009A0A3A" w:rsidP="003A062C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Друго питање односи се на издавање Оригиналних писама о намерама банке за издавањем банкарских гаранција и гласи: Да ли писма морају да буду обавезујућег карактера, или не, јер у конкурсној документацији то не стоји</w:t>
      </w:r>
      <w:r w:rsidR="003A062C">
        <w:rPr>
          <w:rFonts w:ascii="Times New Roman" w:hAnsi="Times New Roman"/>
          <w:sz w:val="24"/>
          <w:szCs w:val="24"/>
        </w:rPr>
        <w:t>.</w:t>
      </w:r>
    </w:p>
    <w:p w:rsidR="003A062C" w:rsidRDefault="003A062C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11EF4" w:rsidRDefault="00C11EF4" w:rsidP="00C11EF4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Поглављу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RS"/>
        </w:rPr>
        <w:t xml:space="preserve"> Упутство понуђачима како да сачине понуду у тачки 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. Подаци о врсти, садржини, начину подношења, висини и роковима обезбеђења испуњења обавеза понуђача предвиђена су средства финансијског обезбеђења која је потребно доставити уз понуду као и средства финансијског обезбеђења која ће се достављати у складу са условима из Модела уговора који је саставни део конкурсне документације. Средства финансијског обезбеђења треба да садрже податке како је то предвиђено конкурсном документацијом. </w:t>
      </w:r>
      <w:r w:rsidR="0049414E">
        <w:rPr>
          <w:rFonts w:ascii="Times New Roman" w:hAnsi="Times New Roman"/>
          <w:sz w:val="24"/>
          <w:szCs w:val="24"/>
          <w:lang w:val="sr-Cyrl-RS"/>
        </w:rPr>
        <w:t>Недостављање средства финансијског обезбеђења</w:t>
      </w:r>
      <w:r w:rsidR="00D85A8D">
        <w:rPr>
          <w:rFonts w:ascii="Times New Roman" w:hAnsi="Times New Roman"/>
          <w:sz w:val="24"/>
          <w:szCs w:val="24"/>
          <w:lang w:val="sr-Cyrl-RS"/>
        </w:rPr>
        <w:t>, на које се понуђач обавезао у својој понуди,</w:t>
      </w:r>
      <w:r w:rsidR="0049414E">
        <w:rPr>
          <w:rFonts w:ascii="Times New Roman" w:hAnsi="Times New Roman"/>
          <w:sz w:val="24"/>
          <w:szCs w:val="24"/>
          <w:lang w:val="sr-Cyrl-RS"/>
        </w:rPr>
        <w:t xml:space="preserve"> с</w:t>
      </w:r>
      <w:r w:rsidR="00D85A8D">
        <w:rPr>
          <w:rFonts w:ascii="Times New Roman" w:hAnsi="Times New Roman"/>
          <w:sz w:val="24"/>
          <w:szCs w:val="24"/>
          <w:lang w:val="sr-Cyrl-RS"/>
        </w:rPr>
        <w:t xml:space="preserve"> ходно одредби члана</w:t>
      </w:r>
      <w:r w:rsidR="0049414E">
        <w:rPr>
          <w:rFonts w:ascii="Times New Roman" w:hAnsi="Times New Roman"/>
          <w:sz w:val="24"/>
          <w:szCs w:val="24"/>
          <w:lang w:val="sr-Cyrl-RS"/>
        </w:rPr>
        <w:t xml:space="preserve"> 82. Закона о јавним набавкама представља</w:t>
      </w:r>
      <w:r w:rsidR="00D85A8D">
        <w:rPr>
          <w:rFonts w:ascii="Times New Roman" w:hAnsi="Times New Roman"/>
          <w:sz w:val="24"/>
          <w:szCs w:val="24"/>
          <w:lang w:val="sr-Cyrl-RS"/>
        </w:rPr>
        <w:t xml:space="preserve"> негативну референцу, без обзира да ли су Оригинал писма о намерама банке за издавање банкарских гаранција обавезујућа</w:t>
      </w:r>
      <w:bookmarkStart w:id="0" w:name="_GoBack"/>
      <w:bookmarkEnd w:id="0"/>
      <w:r w:rsidR="00D85A8D">
        <w:rPr>
          <w:rFonts w:ascii="Times New Roman" w:hAnsi="Times New Roman"/>
          <w:sz w:val="24"/>
          <w:szCs w:val="24"/>
          <w:lang w:val="sr-Cyrl-RS"/>
        </w:rPr>
        <w:t xml:space="preserve"> или не.</w:t>
      </w:r>
    </w:p>
    <w:p w:rsidR="00C11EF4" w:rsidRDefault="00C11EF4" w:rsidP="00C11EF4">
      <w:pPr>
        <w:spacing w:after="0"/>
        <w:ind w:left="1134" w:hanging="41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062C" w:rsidRDefault="003A062C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3A062C" w:rsidRDefault="003A062C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Комисиј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ја</w:t>
      </w:r>
      <w:proofErr w:type="spellStart"/>
      <w:r>
        <w:rPr>
          <w:rFonts w:ascii="Times New Roman" w:hAnsi="Times New Roman"/>
          <w:sz w:val="24"/>
          <w:szCs w:val="24"/>
        </w:rPr>
        <w:t>вну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набавку</w:t>
      </w:r>
      <w:proofErr w:type="spellEnd"/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16AE" w:rsidRDefault="000D16AE" w:rsidP="009D560C"/>
    <w:p w:rsidR="000D16AE" w:rsidRDefault="000D16AE"/>
    <w:sectPr w:rsidR="000D16AE" w:rsidSect="00CE245E"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Roman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DEA"/>
    <w:multiLevelType w:val="hybridMultilevel"/>
    <w:tmpl w:val="EC4A5F4C"/>
    <w:lvl w:ilvl="0" w:tplc="A0EE3E86">
      <w:numFmt w:val="bullet"/>
      <w:lvlText w:val="-"/>
      <w:lvlJc w:val="left"/>
      <w:pPr>
        <w:ind w:left="1080" w:hanging="360"/>
      </w:pPr>
      <w:rPr>
        <w:rFonts w:ascii="TimesRoman" w:eastAsia="Times New Roman" w:hAnsi="Times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15821"/>
    <w:multiLevelType w:val="hybridMultilevel"/>
    <w:tmpl w:val="C07A7FB8"/>
    <w:lvl w:ilvl="0" w:tplc="3976AC8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C3A"/>
    <w:rsid w:val="000D16AE"/>
    <w:rsid w:val="001B1C43"/>
    <w:rsid w:val="001C4B9D"/>
    <w:rsid w:val="001F0840"/>
    <w:rsid w:val="003A062C"/>
    <w:rsid w:val="00417F17"/>
    <w:rsid w:val="0049414E"/>
    <w:rsid w:val="00494EFF"/>
    <w:rsid w:val="00504F9E"/>
    <w:rsid w:val="005267D9"/>
    <w:rsid w:val="00574CD9"/>
    <w:rsid w:val="00700131"/>
    <w:rsid w:val="007D3358"/>
    <w:rsid w:val="008A7C1C"/>
    <w:rsid w:val="00983C4B"/>
    <w:rsid w:val="009A0A3A"/>
    <w:rsid w:val="009D560C"/>
    <w:rsid w:val="00A5142D"/>
    <w:rsid w:val="00A9448B"/>
    <w:rsid w:val="00BD2994"/>
    <w:rsid w:val="00C074FF"/>
    <w:rsid w:val="00C11EF4"/>
    <w:rsid w:val="00C5708C"/>
    <w:rsid w:val="00C668C1"/>
    <w:rsid w:val="00C75733"/>
    <w:rsid w:val="00CE245E"/>
    <w:rsid w:val="00D15818"/>
    <w:rsid w:val="00D213A1"/>
    <w:rsid w:val="00D85A8D"/>
    <w:rsid w:val="00DF15B5"/>
    <w:rsid w:val="00E14C3A"/>
    <w:rsid w:val="00F176E6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4</cp:revision>
  <dcterms:created xsi:type="dcterms:W3CDTF">2017-04-21T09:12:00Z</dcterms:created>
  <dcterms:modified xsi:type="dcterms:W3CDTF">2017-04-21T10:00:00Z</dcterms:modified>
</cp:coreProperties>
</file>